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spacing w:after="0" w:line="750" w:lineRule="exact"/>
        <w:jc w:val="center"/>
        <w:rPr>
          <w:rFonts w:hint="eastAsia" w:ascii="Times New Roman" w:hAnsi="Times New Roman" w:eastAsia="方正小标宋_GBK" w:cs="Times New Roman"/>
          <w:color w:val="000000"/>
          <w:sz w:val="44"/>
          <w:szCs w:val="44"/>
          <w:lang w:val="en-US" w:eastAsia="zh-CN"/>
        </w:rPr>
      </w:pPr>
    </w:p>
    <w:p>
      <w:pPr>
        <w:pBdr>
          <w:top w:val="none" w:color="auto" w:sz="0" w:space="1"/>
          <w:left w:val="none" w:color="auto" w:sz="0" w:space="4"/>
          <w:bottom w:val="none" w:color="auto" w:sz="0" w:space="1"/>
          <w:right w:val="none" w:color="auto" w:sz="0" w:space="4"/>
          <w:between w:val="none" w:color="auto" w:sz="0" w:space="0"/>
        </w:pBdr>
        <w:spacing w:after="0" w:line="75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常德市审计局</w:t>
      </w:r>
    </w:p>
    <w:p>
      <w:pPr>
        <w:pBdr>
          <w:top w:val="none" w:color="auto" w:sz="0" w:space="1"/>
          <w:left w:val="none" w:color="auto" w:sz="0" w:space="4"/>
          <w:bottom w:val="none" w:color="auto" w:sz="0" w:space="1"/>
          <w:right w:val="none" w:color="auto" w:sz="0" w:space="4"/>
          <w:between w:val="none" w:color="auto" w:sz="0" w:space="0"/>
        </w:pBdr>
        <w:spacing w:after="0" w:line="750" w:lineRule="exact"/>
        <w:jc w:val="center"/>
        <w:rPr>
          <w:rFonts w:hint="default" w:ascii="Times New Roman" w:hAnsi="Times New Roman" w:eastAsia="方正小标宋_GBK" w:cs="Times New Roman"/>
          <w:color w:val="000000"/>
          <w:sz w:val="24"/>
          <w:szCs w:val="24"/>
          <w:lang w:eastAsia="zh-CN"/>
        </w:rPr>
      </w:pPr>
      <w:r>
        <w:rPr>
          <w:rFonts w:hint="default" w:ascii="Times New Roman" w:hAnsi="Times New Roman" w:eastAsia="方正小标宋_GBK" w:cs="Times New Roman"/>
          <w:color w:val="000000"/>
          <w:sz w:val="44"/>
          <w:szCs w:val="44"/>
          <w:lang w:eastAsia="zh-CN"/>
        </w:rPr>
        <w:t>2024年度</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谁执法谁普法</w:t>
      </w:r>
      <w:r>
        <w:rPr>
          <w:rFonts w:hint="eastAsia"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lang w:eastAsia="zh-CN"/>
        </w:rPr>
        <w:t>重点任务清单</w:t>
      </w:r>
      <w:bookmarkStart w:id="0" w:name="_GoBack"/>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1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6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指标</w:t>
            </w: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序号</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pPr>
            <w:r>
              <w:rPr>
                <w:rFonts w:hint="default" w:ascii="Times New Roman" w:hAnsi="Times New Roman" w:eastAsia="黑体" w:cs="Times New Roman"/>
                <w:b w:val="0"/>
                <w:bCs w:val="0"/>
                <w:color w:val="000000"/>
                <w:sz w:val="24"/>
                <w:szCs w:val="24"/>
                <w:vertAlign w:val="baseline"/>
                <w:lang w:eastAsia="zh-CN"/>
              </w:rPr>
              <w:t>重点普法任务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760" w:type="dxa"/>
            <w:vMerge w:val="restart"/>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 w:eastAsia="zh-CN"/>
              </w:rPr>
            </w:pPr>
            <w:r>
              <w:rPr>
                <w:rFonts w:hint="default" w:ascii="Times New Roman" w:hAnsi="Times New Roman" w:eastAsia="仿宋_GB2312" w:cs="Times New Roman"/>
                <w:color w:val="000000"/>
                <w:sz w:val="24"/>
                <w:szCs w:val="24"/>
                <w:vertAlign w:val="baseline"/>
                <w:lang w:val="en" w:eastAsia="zh-CN"/>
              </w:rPr>
              <w:t>公共</w:t>
            </w:r>
          </w:p>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 w:eastAsia="zh-CN"/>
              </w:rPr>
            </w:pPr>
            <w:r>
              <w:rPr>
                <w:rFonts w:hint="default" w:ascii="Times New Roman" w:hAnsi="Times New Roman" w:eastAsia="仿宋_GB2312" w:cs="Times New Roman"/>
                <w:color w:val="000000"/>
                <w:sz w:val="24"/>
                <w:szCs w:val="24"/>
                <w:vertAlign w:val="baseline"/>
                <w:lang w:val="en" w:eastAsia="zh-CN"/>
              </w:rPr>
              <w:t>指标</w:t>
            </w: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rPr>
              <w:t>深入学习宣传习近平法治思想</w:t>
            </w:r>
            <w:r>
              <w:rPr>
                <w:rFonts w:hint="default" w:ascii="Times New Roman" w:hAnsi="Times New Roman" w:eastAsia="仿宋_GB2312" w:cs="Times New Roman"/>
                <w:color w:val="000000"/>
                <w:sz w:val="24"/>
                <w:szCs w:val="24"/>
                <w:lang w:eastAsia="zh-CN"/>
              </w:rPr>
              <w:t>，将相关内容纳入年内党组中心组集中学法内容和本单位法治培训内容，开展宣讲不少于1次。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lang w:eastAsia="zh-CN"/>
              </w:rPr>
              <w:t>突出宣传宪法，开展宪法进机关活动，组织审计人员开展日常宪法学习宣传，集中组织好</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eastAsia="zh-CN"/>
              </w:rPr>
              <w:t>宪法宣传周</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落实党组理论学习中心组学法制度，每年组织学法不少于</w:t>
            </w:r>
            <w:r>
              <w:rPr>
                <w:rFonts w:hint="eastAsia" w:ascii="Times New Roman" w:hAnsi="Times New Roman" w:eastAsia="仿宋_GB2312" w:cs="Times New Roman"/>
                <w:color w:val="000000"/>
                <w:sz w:val="24"/>
                <w:szCs w:val="24"/>
                <w:vertAlign w:val="baseline"/>
                <w:lang w:val="en-US" w:eastAsia="zh-CN"/>
              </w:rPr>
              <w:t>2次</w:t>
            </w:r>
            <w:r>
              <w:rPr>
                <w:rFonts w:hint="default" w:ascii="Times New Roman" w:hAnsi="Times New Roman" w:eastAsia="仿宋_GB2312" w:cs="Times New Roman"/>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落实领导干部年终述法制度，在年度述职中加入述法内容。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5</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vertAlign w:val="baseline"/>
                <w:lang w:val="en-US" w:eastAsia="zh-CN"/>
              </w:rPr>
              <w:t>健全完善国家工作人员日常学法制度、法治培训制度、学法用法考核制度，每年至少举办一期法治专题培训班。</w:t>
            </w:r>
            <w:r>
              <w:rPr>
                <w:rFonts w:hint="default" w:ascii="Times New Roman" w:hAnsi="Times New Roman" w:eastAsia="仿宋_GB2312" w:cs="Times New Roman"/>
                <w:color w:val="000000"/>
                <w:sz w:val="24"/>
                <w:szCs w:val="24"/>
              </w:rPr>
              <w:t>做好工作人员网上学法，年内课时达标率</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应考人员参考率</w:t>
            </w:r>
            <w:r>
              <w:rPr>
                <w:rFonts w:hint="default" w:ascii="Times New Roman" w:hAnsi="Times New Roman" w:eastAsia="仿宋_GB2312" w:cs="Times New Roman"/>
                <w:color w:val="000000"/>
                <w:sz w:val="24"/>
                <w:szCs w:val="24"/>
                <w:lang w:eastAsia="zh-CN"/>
              </w:rPr>
              <w:t>和</w:t>
            </w:r>
            <w:r>
              <w:rPr>
                <w:rFonts w:hint="default" w:ascii="Times New Roman" w:hAnsi="Times New Roman" w:eastAsia="仿宋_GB2312" w:cs="Times New Roman"/>
                <w:color w:val="000000"/>
                <w:sz w:val="24"/>
                <w:szCs w:val="24"/>
              </w:rPr>
              <w:t>合格率</w:t>
            </w:r>
            <w:r>
              <w:rPr>
                <w:rFonts w:hint="default" w:ascii="Times New Roman" w:hAnsi="Times New Roman" w:eastAsia="仿宋_GB2312" w:cs="Times New Roman"/>
                <w:color w:val="000000"/>
                <w:sz w:val="24"/>
                <w:szCs w:val="24"/>
                <w:lang w:eastAsia="zh-CN"/>
              </w:rPr>
              <w:t>三个</w:t>
            </w:r>
            <w:r>
              <w:rPr>
                <w:rFonts w:hint="default" w:ascii="Times New Roman" w:hAnsi="Times New Roman" w:eastAsia="仿宋_GB2312" w:cs="Times New Roman"/>
                <w:color w:val="000000"/>
                <w:sz w:val="24"/>
                <w:szCs w:val="24"/>
                <w:lang w:val="en-US" w:eastAsia="zh-CN"/>
              </w:rPr>
              <w:t>100</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6</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lang w:eastAsia="zh-CN"/>
              </w:rPr>
              <w:t>落实审计人员旁听庭审制度，</w:t>
            </w:r>
            <w:r>
              <w:rPr>
                <w:rFonts w:hint="default" w:ascii="Times New Roman" w:hAnsi="Times New Roman" w:eastAsia="仿宋_GB2312" w:cs="Times New Roman"/>
                <w:color w:val="000000"/>
                <w:sz w:val="24"/>
                <w:szCs w:val="24"/>
              </w:rPr>
              <w:t>组织网上集中观看或</w:t>
            </w:r>
            <w:r>
              <w:rPr>
                <w:rFonts w:hint="default" w:ascii="Times New Roman" w:hAnsi="Times New Roman" w:eastAsia="仿宋_GB2312" w:cs="Times New Roman"/>
                <w:color w:val="000000"/>
                <w:sz w:val="24"/>
                <w:szCs w:val="24"/>
                <w:lang w:eastAsia="zh-CN"/>
              </w:rPr>
              <w:t>者</w:t>
            </w:r>
            <w:r>
              <w:rPr>
                <w:rFonts w:hint="default" w:ascii="Times New Roman" w:hAnsi="Times New Roman" w:eastAsia="仿宋_GB2312" w:cs="Times New Roman"/>
                <w:color w:val="000000"/>
                <w:sz w:val="24"/>
                <w:szCs w:val="24"/>
              </w:rPr>
              <w:t>现场集中旁听</w:t>
            </w:r>
            <w:r>
              <w:rPr>
                <w:rFonts w:hint="default" w:ascii="Times New Roman" w:hAnsi="Times New Roman" w:eastAsia="仿宋_GB2312" w:cs="Times New Roman"/>
                <w:color w:val="000000"/>
                <w:sz w:val="24"/>
                <w:szCs w:val="24"/>
                <w:lang w:eastAsia="zh-CN"/>
              </w:rPr>
              <w:t>庭审</w:t>
            </w:r>
            <w:r>
              <w:rPr>
                <w:rFonts w:hint="default" w:ascii="Times New Roman" w:hAnsi="Times New Roman" w:eastAsia="仿宋_GB2312" w:cs="Times New Roman"/>
                <w:color w:val="000000"/>
                <w:sz w:val="24"/>
                <w:szCs w:val="24"/>
              </w:rPr>
              <w:t>，年内</w:t>
            </w:r>
            <w:r>
              <w:rPr>
                <w:rFonts w:hint="eastAsia" w:ascii="Times New Roman" w:hAnsi="Times New Roman" w:eastAsia="仿宋_GB2312" w:cs="Times New Roman"/>
                <w:color w:val="000000"/>
                <w:sz w:val="24"/>
                <w:szCs w:val="24"/>
                <w:lang w:val="en-US" w:eastAsia="zh-CN"/>
              </w:rPr>
              <w:t>组织</w:t>
            </w:r>
            <w:r>
              <w:rPr>
                <w:rFonts w:hint="default" w:ascii="Times New Roman" w:hAnsi="Times New Roman" w:eastAsia="仿宋_GB2312" w:cs="Times New Roman"/>
                <w:color w:val="000000"/>
                <w:sz w:val="24"/>
                <w:szCs w:val="24"/>
              </w:rPr>
              <w:t>1次</w:t>
            </w:r>
            <w:r>
              <w:rPr>
                <w:rFonts w:hint="default" w:ascii="Times New Roman" w:hAnsi="Times New Roman" w:eastAsia="仿宋_GB2312" w:cs="Times New Roman"/>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7</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rPr>
              <w:t>在单位门户网站、自办刊物、官方微博、微信公众号开辟法治宣传专栏</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专题</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设置</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以案释法</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栏目，定期发布普法宣传内容和</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以案释法</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案例，年内</w:t>
            </w:r>
            <w:r>
              <w:rPr>
                <w:rFonts w:hint="default" w:ascii="Times New Roman" w:hAnsi="Times New Roman" w:eastAsia="仿宋_GB2312" w:cs="Times New Roman"/>
                <w:color w:val="000000"/>
                <w:sz w:val="24"/>
                <w:szCs w:val="24"/>
                <w:lang w:eastAsia="zh-CN"/>
              </w:rPr>
              <w:t>报送</w:t>
            </w:r>
            <w:r>
              <w:rPr>
                <w:rFonts w:hint="default" w:ascii="Times New Roman" w:hAnsi="Times New Roman" w:eastAsia="仿宋_GB2312" w:cs="Times New Roman"/>
                <w:color w:val="000000"/>
                <w:sz w:val="24"/>
                <w:szCs w:val="24"/>
              </w:rPr>
              <w:t>不少于3个</w:t>
            </w:r>
            <w:r>
              <w:rPr>
                <w:rFonts w:hint="default" w:ascii="Times New Roman" w:hAnsi="Times New Roman" w:eastAsia="仿宋_GB2312" w:cs="Times New Roman"/>
                <w:color w:val="000000"/>
                <w:sz w:val="24"/>
                <w:szCs w:val="24"/>
                <w:lang w:eastAsia="zh-CN"/>
              </w:rPr>
              <w:t>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 w:eastAsia="zh-CN"/>
              </w:rPr>
            </w:pPr>
            <w:r>
              <w:rPr>
                <w:rFonts w:hint="default" w:ascii="Times New Roman" w:hAnsi="Times New Roman" w:eastAsia="仿宋_GB2312" w:cs="Times New Roman"/>
                <w:color w:val="000000"/>
                <w:sz w:val="24"/>
                <w:szCs w:val="24"/>
                <w:vertAlign w:val="baseline"/>
                <w:lang w:val="en" w:eastAsia="zh-CN"/>
              </w:rPr>
              <w:t>8</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 w:eastAsia="zh-CN"/>
              </w:rPr>
              <w:t>加强对本单位乡村振兴联系点的指导，有针对性地宣传普及与群众生产生活和乡村治理密切相关的法律法规</w:t>
            </w:r>
            <w:r>
              <w:rPr>
                <w:rFonts w:hint="eastAsia" w:ascii="Times New Roman" w:hAnsi="Times New Roman" w:eastAsia="仿宋_GB2312" w:cs="Times New Roman"/>
                <w:color w:val="000000"/>
                <w:sz w:val="24"/>
                <w:szCs w:val="24"/>
                <w:lang w:val="en" w:eastAsia="zh-CN"/>
              </w:rPr>
              <w:t>，</w:t>
            </w:r>
            <w:r>
              <w:rPr>
                <w:rFonts w:hint="eastAsia" w:ascii="Times New Roman" w:hAnsi="Times New Roman" w:eastAsia="仿宋_GB2312" w:cs="Times New Roman"/>
                <w:color w:val="000000"/>
                <w:sz w:val="24"/>
                <w:szCs w:val="24"/>
                <w:lang w:val="en-US" w:eastAsia="zh-CN"/>
              </w:rPr>
              <w:t>组织送法下乡1次。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9</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lang w:val="en" w:eastAsia="zh-CN"/>
              </w:rPr>
            </w:pPr>
            <w:r>
              <w:rPr>
                <w:rFonts w:hint="default" w:ascii="Times New Roman" w:hAnsi="Times New Roman" w:eastAsia="仿宋_GB2312" w:cs="Times New Roman"/>
                <w:color w:val="000000"/>
                <w:sz w:val="24"/>
                <w:szCs w:val="24"/>
                <w:lang w:val="en" w:eastAsia="zh-CN"/>
              </w:rPr>
              <w:t>认真贯彻落实全省</w:t>
            </w:r>
            <w:r>
              <w:rPr>
                <w:rFonts w:hint="eastAsia" w:ascii="Times New Roman" w:hAnsi="Times New Roman" w:eastAsia="仿宋_GB2312" w:cs="Times New Roman"/>
                <w:color w:val="000000"/>
                <w:sz w:val="24"/>
                <w:szCs w:val="24"/>
                <w:lang w:val="en" w:eastAsia="zh-CN"/>
              </w:rPr>
              <w:t>“</w:t>
            </w:r>
            <w:r>
              <w:rPr>
                <w:rFonts w:hint="default" w:ascii="Times New Roman" w:hAnsi="Times New Roman" w:eastAsia="仿宋_GB2312" w:cs="Times New Roman"/>
                <w:color w:val="000000"/>
                <w:sz w:val="24"/>
                <w:szCs w:val="24"/>
                <w:lang w:val="en" w:eastAsia="zh-CN"/>
              </w:rPr>
              <w:t>八五</w:t>
            </w:r>
            <w:r>
              <w:rPr>
                <w:rFonts w:hint="eastAsia" w:ascii="Times New Roman" w:hAnsi="Times New Roman" w:eastAsia="仿宋_GB2312" w:cs="Times New Roman"/>
                <w:color w:val="000000"/>
                <w:sz w:val="24"/>
                <w:szCs w:val="24"/>
                <w:lang w:val="en" w:eastAsia="zh-CN"/>
              </w:rPr>
              <w:t>”</w:t>
            </w:r>
            <w:r>
              <w:rPr>
                <w:rFonts w:hint="default" w:ascii="Times New Roman" w:hAnsi="Times New Roman" w:eastAsia="仿宋_GB2312" w:cs="Times New Roman"/>
                <w:color w:val="000000"/>
                <w:sz w:val="24"/>
                <w:szCs w:val="24"/>
                <w:lang w:val="en" w:eastAsia="zh-CN"/>
              </w:rPr>
              <w:t>普法规划和《湖南省法治社会建设实施方案（2021-2025年）》。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760" w:type="dxa"/>
            <w:vMerge w:val="continue"/>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eastAsia="zh-CN"/>
              </w:rPr>
            </w:pPr>
          </w:p>
        </w:tc>
        <w:tc>
          <w:tcPr>
            <w:tcW w:w="811" w:type="dxa"/>
            <w:noWrap w:val="0"/>
            <w:vAlign w:val="center"/>
          </w:tcPr>
          <w:p>
            <w:pPr>
              <w:pBdr>
                <w:top w:val="none" w:color="auto" w:sz="0" w:space="1"/>
                <w:left w:val="none" w:color="auto" w:sz="0" w:space="4"/>
                <w:bottom w:val="none" w:color="auto" w:sz="0" w:space="1"/>
                <w:right w:val="none" w:color="auto" w:sz="0" w:space="4"/>
                <w:between w:val="none" w:color="auto" w:sz="0" w:space="0"/>
              </w:pBdr>
              <w:spacing w:after="0" w:line="400" w:lineRule="exact"/>
              <w:jc w:val="center"/>
              <w:rPr>
                <w:rFonts w:hint="default" w:ascii="Times New Roman" w:hAnsi="Times New Roman" w:eastAsia="仿宋_GB2312" w:cs="Times New Roman"/>
                <w:color w:val="000000"/>
                <w:sz w:val="24"/>
                <w:szCs w:val="24"/>
                <w:vertAlign w:val="baseline"/>
                <w:lang w:val="en-US" w:eastAsia="zh-CN"/>
              </w:rPr>
            </w:pPr>
            <w:r>
              <w:rPr>
                <w:rFonts w:hint="eastAsia" w:ascii="Times New Roman" w:hAnsi="Times New Roman" w:eastAsia="仿宋_GB2312" w:cs="Times New Roman"/>
                <w:color w:val="000000"/>
                <w:sz w:val="24"/>
                <w:szCs w:val="24"/>
                <w:vertAlign w:val="baseline"/>
                <w:lang w:val="en-US" w:eastAsia="zh-CN"/>
              </w:rPr>
              <w:t>10</w:t>
            </w:r>
          </w:p>
        </w:tc>
        <w:tc>
          <w:tcPr>
            <w:tcW w:w="6930" w:type="dxa"/>
            <w:noWrap w:val="0"/>
            <w:vAlign w:val="center"/>
          </w:tcPr>
          <w:p>
            <w:pPr>
              <w:pBdr>
                <w:top w:val="none" w:color="auto" w:sz="0" w:space="1"/>
                <w:left w:val="none" w:color="auto" w:sz="0" w:space="4"/>
                <w:bottom w:val="none" w:color="auto" w:sz="0" w:space="1"/>
                <w:right w:val="none" w:color="auto" w:sz="0" w:space="4"/>
                <w:between w:val="none" w:color="auto" w:sz="0" w:space="0"/>
              </w:pBdr>
              <w:spacing w:line="400" w:lineRule="exact"/>
              <w:ind w:left="0" w:leftChars="0" w:right="0" w:rightChars="0" w:firstLine="0" w:firstLineChars="0"/>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深入开展保守国家秘密法学系宣传活动。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76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黑体" w:cs="Times New Roman"/>
                <w:color w:val="000000"/>
                <w:sz w:val="24"/>
                <w:szCs w:val="24"/>
                <w:vertAlign w:val="baseline"/>
                <w:lang w:eastAsia="zh-CN"/>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指标</w:t>
            </w: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黑体" w:cs="Times New Roman"/>
                <w:color w:val="000000"/>
                <w:sz w:val="24"/>
                <w:szCs w:val="24"/>
                <w:vertAlign w:val="baseline"/>
                <w:lang w:val="en-US" w:eastAsia="zh-CN"/>
              </w:rPr>
            </w:pPr>
            <w:r>
              <w:rPr>
                <w:rFonts w:hint="default" w:ascii="Times New Roman" w:hAnsi="Times New Roman" w:eastAsia="黑体" w:cs="Times New Roman"/>
                <w:b w:val="0"/>
                <w:bCs w:val="0"/>
                <w:color w:val="000000"/>
                <w:spacing w:val="0"/>
                <w:w w:val="100"/>
                <w:kern w:val="2"/>
                <w:position w:val="0"/>
                <w:sz w:val="24"/>
                <w:szCs w:val="24"/>
                <w:shd w:val="clear" w:color="auto" w:fill="auto"/>
                <w:vertAlign w:val="baseline"/>
                <w:lang w:eastAsia="zh-CN" w:bidi="ar-SA"/>
              </w:rPr>
              <w:t>序号</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黑体" w:cs="Times New Roman"/>
                <w:color w:val="000000"/>
                <w:sz w:val="24"/>
                <w:szCs w:val="24"/>
                <w:lang w:val="en" w:eastAsia="zh-CN"/>
              </w:rPr>
            </w:pPr>
            <w:r>
              <w:rPr>
                <w:rFonts w:hint="default" w:ascii="Times New Roman" w:hAnsi="Times New Roman" w:eastAsia="黑体" w:cs="Times New Roman"/>
                <w:b w:val="0"/>
                <w:bCs w:val="0"/>
                <w:color w:val="000000"/>
                <w:sz w:val="24"/>
                <w:szCs w:val="24"/>
                <w:vertAlign w:val="baseline"/>
                <w:lang w:eastAsia="zh-CN"/>
              </w:rPr>
              <w:t>重点普法任务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760" w:type="dxa"/>
            <w:vMerge w:val="restart"/>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vertAlign w:val="baseline"/>
                <w:lang w:eastAsia="zh-CN"/>
              </w:rPr>
              <w:t>个性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eastAsia="zh-CN"/>
              </w:rPr>
            </w:pPr>
            <w:r>
              <w:rPr>
                <w:rFonts w:hint="default" w:ascii="Times New Roman" w:hAnsi="Times New Roman" w:eastAsia="仿宋_GB2312" w:cs="Times New Roman"/>
                <w:color w:val="000000"/>
                <w:sz w:val="24"/>
                <w:szCs w:val="24"/>
                <w:vertAlign w:val="baseline"/>
                <w:lang w:eastAsia="zh-CN"/>
              </w:rPr>
              <w:t>指标</w:t>
            </w: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1</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pP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结合</w:t>
            </w:r>
            <w:r>
              <w:rPr>
                <w:rFonts w:hint="eastAsia"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4.15</w:t>
            </w:r>
            <w:r>
              <w:rPr>
                <w:rFonts w:hint="eastAsia"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全民国家安全教育日</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t>、民法典宣传周、</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6月安全生产月、</w:t>
            </w:r>
            <w:r>
              <w:rPr>
                <w:rFonts w:hint="eastAsia"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t>12.4宪法宣传周</w:t>
            </w:r>
            <w:r>
              <w:rPr>
                <w:rFonts w:hint="eastAsia"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 w:eastAsia="zh-CN" w:bidi="en-US"/>
              </w:rPr>
              <w:t>等重要时间节点，</w:t>
            </w: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t>加强对重点法律的学习和宣传。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760" w:type="dxa"/>
            <w:vMerge w:val="continue"/>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both"/>
              <w:textAlignment w:val="auto"/>
              <w:rPr>
                <w:rFonts w:hint="default" w:ascii="Times New Roman" w:hAnsi="Times New Roman" w:eastAsia="仿宋_GB2312" w:cs="Times New Roman"/>
                <w:color w:val="000000"/>
                <w:sz w:val="24"/>
                <w:szCs w:val="24"/>
                <w:vertAlign w:val="baseline"/>
              </w:rPr>
            </w:pP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2</w:t>
            </w:r>
          </w:p>
        </w:tc>
        <w:tc>
          <w:tcPr>
            <w:tcW w:w="6930" w:type="dxa"/>
            <w:noWrap w:val="0"/>
            <w:vAlign w:val="center"/>
          </w:tcPr>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pPr>
            <w:r>
              <w:rPr>
                <w:rFonts w:hint="default" w:ascii="Times New Roman" w:hAnsi="Times New Roman" w:eastAsia="仿宋_GB2312" w:cs="Times New Roman"/>
                <w:color w:val="000000"/>
                <w:spacing w:val="0"/>
                <w:w w:val="100"/>
                <w:kern w:val="2"/>
                <w:position w:val="0"/>
                <w:sz w:val="24"/>
                <w:szCs w:val="24"/>
                <w:shd w:val="clear" w:color="auto" w:fill="auto"/>
                <w:vertAlign w:val="baseline"/>
                <w:lang w:val="en-US" w:eastAsia="zh-CN" w:bidi="en-US"/>
              </w:rPr>
              <w:t>根据被审计单位情况开展有针对性的法治宣传教育活动。突出宣传《中华人民共和国审计法》《民法典》和《行政复议法》，年内开展送法下乡宣传活动1次。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760" w:type="dxa"/>
            <w:vMerge w:val="continue"/>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both"/>
              <w:textAlignment w:val="auto"/>
              <w:rPr>
                <w:rFonts w:hint="default" w:ascii="Times New Roman" w:hAnsi="Times New Roman" w:eastAsia="仿宋_GB2312" w:cs="Times New Roman"/>
                <w:color w:val="000000"/>
                <w:sz w:val="24"/>
                <w:szCs w:val="24"/>
                <w:vertAlign w:val="baseline"/>
              </w:rPr>
            </w:pP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3</w:t>
            </w:r>
          </w:p>
        </w:tc>
        <w:tc>
          <w:tcPr>
            <w:tcW w:w="6930"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pPr>
            <w:r>
              <w:rPr>
                <w:rFonts w:hint="eastAsia" w:ascii="Times New Roman" w:hAnsi="Times New Roman" w:eastAsia="仿宋_GB2312" w:cs="Times New Roman"/>
                <w:color w:val="000000"/>
                <w:spacing w:val="0"/>
                <w:w w:val="100"/>
                <w:position w:val="0"/>
                <w:sz w:val="24"/>
                <w:szCs w:val="24"/>
                <w:shd w:val="clear" w:color="auto" w:fill="auto"/>
                <w:vertAlign w:val="baseline"/>
                <w:lang w:val="en-US" w:eastAsia="zh-CN" w:bidi="en-US"/>
              </w:rPr>
              <w:t>参与省审计厅组织的</w:t>
            </w:r>
            <w:r>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t>集中整训，提升审计人员的法律意识，确保全厅工作人员以打铁还须自身硬的勇气带头学法、尊法和守法。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760" w:type="dxa"/>
            <w:vMerge w:val="continue"/>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both"/>
              <w:textAlignment w:val="auto"/>
              <w:rPr>
                <w:rFonts w:hint="default" w:ascii="Times New Roman" w:hAnsi="Times New Roman" w:eastAsia="仿宋_GB2312" w:cs="Times New Roman"/>
                <w:color w:val="000000"/>
                <w:sz w:val="24"/>
                <w:szCs w:val="24"/>
                <w:vertAlign w:val="baseline"/>
              </w:rPr>
            </w:pPr>
          </w:p>
        </w:tc>
        <w:tc>
          <w:tcPr>
            <w:tcW w:w="811" w:type="dxa"/>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sz w:val="24"/>
                <w:szCs w:val="24"/>
                <w:vertAlign w:val="baseline"/>
                <w:lang w:val="en-US" w:eastAsia="zh-CN"/>
              </w:rPr>
            </w:pPr>
            <w:r>
              <w:rPr>
                <w:rFonts w:hint="default" w:ascii="Times New Roman" w:hAnsi="Times New Roman" w:eastAsia="仿宋_GB2312" w:cs="Times New Roman"/>
                <w:color w:val="000000"/>
                <w:sz w:val="24"/>
                <w:szCs w:val="24"/>
                <w:vertAlign w:val="baseline"/>
                <w:lang w:val="en-US" w:eastAsia="zh-CN"/>
              </w:rPr>
              <w:t>4</w:t>
            </w:r>
          </w:p>
        </w:tc>
        <w:tc>
          <w:tcPr>
            <w:tcW w:w="6930" w:type="dxa"/>
            <w:noWrap w:val="0"/>
            <w:vAlign w:val="center"/>
          </w:tcPr>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pPr>
            <w:r>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t>主动邀请人大代表、政协委员、审计特约监督员等参与现场审计调研，主动接受监督，深化</w:t>
            </w:r>
            <w:r>
              <w:rPr>
                <w:rFonts w:hint="eastAsia" w:cs="Times New Roman"/>
                <w:color w:val="000000"/>
                <w:spacing w:val="0"/>
                <w:w w:val="100"/>
                <w:position w:val="0"/>
                <w:sz w:val="24"/>
                <w:szCs w:val="24"/>
                <w:shd w:val="clear" w:color="auto" w:fill="auto"/>
                <w:vertAlign w:val="baseline"/>
                <w:lang w:val="en-US" w:eastAsia="zh-CN" w:bidi="en-US"/>
              </w:rPr>
              <w:t>“</w:t>
            </w:r>
            <w:r>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t>以案释法</w:t>
            </w:r>
            <w:r>
              <w:rPr>
                <w:rFonts w:hint="eastAsia" w:cs="Times New Roman"/>
                <w:color w:val="000000"/>
                <w:spacing w:val="0"/>
                <w:w w:val="100"/>
                <w:position w:val="0"/>
                <w:sz w:val="24"/>
                <w:szCs w:val="24"/>
                <w:shd w:val="clear" w:color="auto" w:fill="auto"/>
                <w:vertAlign w:val="baseline"/>
                <w:lang w:val="en-US" w:eastAsia="zh-CN" w:bidi="en-US"/>
              </w:rPr>
              <w:t>”</w:t>
            </w:r>
            <w:r>
              <w:rPr>
                <w:rFonts w:hint="default" w:ascii="Times New Roman" w:hAnsi="Times New Roman" w:eastAsia="仿宋_GB2312" w:cs="Times New Roman"/>
                <w:color w:val="000000"/>
                <w:spacing w:val="0"/>
                <w:w w:val="100"/>
                <w:position w:val="0"/>
                <w:sz w:val="24"/>
                <w:szCs w:val="24"/>
                <w:shd w:val="clear" w:color="auto" w:fill="auto"/>
                <w:vertAlign w:val="baseline"/>
                <w:lang w:val="en-US" w:eastAsia="zh-CN" w:bidi="en-US"/>
              </w:rPr>
              <w:t>。</w:t>
            </w:r>
          </w:p>
        </w:tc>
      </w:tr>
    </w:tbl>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NzRkNDg4MWRmZDIxODI0NTY4NGQ5Y2EyMzM4NGEifQ=="/>
  </w:docVars>
  <w:rsids>
    <w:rsidRoot w:val="00000000"/>
    <w:rsid w:val="24761EB1"/>
    <w:rsid w:val="2EA07236"/>
    <w:rsid w:val="340516BA"/>
    <w:rsid w:val="37DB0494"/>
    <w:rsid w:val="500B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ind w:right="214"/>
      <w:jc w:val="both"/>
    </w:pPr>
    <w:rPr>
      <w:rFonts w:ascii="仿宋_GB2312" w:hAnsi="Calibri" w:eastAsia="仿宋_GB2312" w:cs="Times New Roman"/>
      <w:kern w:val="2"/>
      <w:sz w:val="32"/>
      <w:lang w:val="en-US" w:eastAsia="zh-CN" w:bidi="ar-SA"/>
    </w:rPr>
  </w:style>
  <w:style w:type="paragraph" w:styleId="3">
    <w:name w:val="footnote text"/>
    <w:next w:val="2"/>
    <w:unhideWhenUsed/>
    <w:qFormat/>
    <w:uiPriority w:val="99"/>
    <w:pPr>
      <w:widowControl w:val="0"/>
      <w:snapToGrid w:val="0"/>
      <w:jc w:val="left"/>
    </w:pPr>
    <w:rPr>
      <w:rFonts w:ascii="Times New Roman" w:hAnsi="Times New Roman" w:eastAsia="仿宋_GB2312" w:cs="Times New Roman"/>
      <w:kern w:val="2"/>
      <w:sz w:val="18"/>
      <w:szCs w:val="18"/>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首行缩进 21"/>
    <w:qFormat/>
    <w:uiPriority w:val="0"/>
    <w:pPr>
      <w:widowControl w:val="0"/>
      <w:ind w:left="200" w:leftChars="200" w:firstLine="420" w:firstLineChars="200"/>
      <w:jc w:val="both"/>
    </w:pPr>
    <w:rPr>
      <w:rFonts w:ascii="Times New Roman" w:hAnsi="Times New Roman" w:eastAsia="仿宋_GB2312" w:cs="Times New Roman"/>
      <w:kern w:val="2"/>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2024-05-14T00:27:00Z</dcterms:created>
  <dc:creator>PC</dc:creator>
  <cp:lastModifiedBy>刘华云</cp:lastModifiedBy>
  <dcterms:modified xsi:type="dcterms:W3CDTF">2024-05-22T08:30:26Z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6AEC6F55EA724B02B78FFD78D26D0E4C_12</vt:lpwstr>
  </property>
</Properties>
</file>